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BAE" w:rsidRPr="001B24D4" w:rsidRDefault="00874BAE" w:rsidP="00874BAE">
      <w:pPr>
        <w:pStyle w:val="2"/>
        <w:rPr>
          <w:rFonts w:hint="eastAsia"/>
        </w:rPr>
      </w:pPr>
      <w:r w:rsidRPr="001B24D4">
        <w:rPr>
          <w:rFonts w:hint="eastAsia"/>
        </w:rPr>
        <w:t>北京师范大学文件</w:t>
      </w:r>
    </w:p>
    <w:p w:rsidR="00874BAE" w:rsidRPr="00275D75" w:rsidRDefault="00874BAE" w:rsidP="00874BAE">
      <w:pPr>
        <w:pStyle w:val="3"/>
        <w:spacing w:before="156"/>
        <w:rPr>
          <w:rFonts w:hAnsi="仿宋" w:hint="eastAsia"/>
          <w:snapToGrid w:val="0"/>
          <w:color w:val="auto"/>
        </w:rPr>
      </w:pPr>
      <w:r w:rsidRPr="00275D75">
        <w:rPr>
          <w:rFonts w:hint="eastAsia"/>
          <w:color w:val="auto"/>
        </w:rPr>
        <w:t>师校发〔</w:t>
      </w:r>
      <w:r w:rsidRPr="00275D75">
        <w:rPr>
          <w:color w:val="auto"/>
        </w:rPr>
        <w:t>2019</w:t>
      </w:r>
      <w:r w:rsidRPr="00275D75">
        <w:rPr>
          <w:color w:val="auto"/>
        </w:rPr>
        <w:t>〕</w:t>
      </w:r>
      <w:r w:rsidRPr="00275D75">
        <w:rPr>
          <w:color w:val="auto"/>
        </w:rPr>
        <w:t>58</w:t>
      </w:r>
      <w:r w:rsidRPr="00275D75">
        <w:rPr>
          <w:color w:val="auto"/>
        </w:rPr>
        <w:t>号</w:t>
      </w:r>
    </w:p>
    <w:p w:rsidR="00874BAE" w:rsidRPr="00275D75" w:rsidRDefault="00874BAE" w:rsidP="00874BAE">
      <w:pPr>
        <w:spacing w:line="520" w:lineRule="exact"/>
        <w:ind w:firstLineChars="0" w:firstLine="0"/>
        <w:rPr>
          <w:rFonts w:hint="eastAsia"/>
          <w:lang w:bidi="ar"/>
        </w:rPr>
      </w:pPr>
      <w:r w:rsidRPr="00275D75">
        <w:rPr>
          <w:rFonts w:ascii="仿宋_GB2312" w:eastAsia="仿宋_GB2312" w:hAnsi="华文仿宋"/>
          <w:noProof/>
          <w:sz w:val="30"/>
          <w:szCs w:val="30"/>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158115</wp:posOffset>
                </wp:positionV>
                <wp:extent cx="5840095" cy="0"/>
                <wp:effectExtent l="13970" t="19050" r="1333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009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FB8F6"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45pt" to="460.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" strokecolor="red" strokeweight="2pt"/>
            </w:pict>
          </mc:Fallback>
        </mc:AlternateContent>
      </w:r>
    </w:p>
    <w:p w:rsidR="00874BAE" w:rsidRPr="00275D75" w:rsidRDefault="00874BAE" w:rsidP="00874BAE">
      <w:pPr>
        <w:pStyle w:val="1"/>
        <w:spacing w:before="468" w:after="468"/>
      </w:pPr>
      <w:r w:rsidRPr="00275D75">
        <w:rPr>
          <w:rFonts w:hint="eastAsia"/>
          <w:lang w:bidi="ar"/>
        </w:rPr>
        <w:t>北京师范大学</w:t>
      </w:r>
      <w:r w:rsidRPr="00275D75">
        <w:rPr>
          <w:lang w:eastAsia="zh-CN" w:bidi="ar"/>
        </w:rPr>
        <w:br/>
      </w:r>
      <w:r w:rsidRPr="00275D75">
        <w:rPr>
          <w:rFonts w:hint="eastAsia"/>
          <w:lang w:bidi="ar"/>
        </w:rPr>
        <w:t>关于调整学校采购限额标准的通知</w:t>
      </w:r>
    </w:p>
    <w:p w:rsidR="00874BAE" w:rsidRPr="00275D75" w:rsidRDefault="00874BAE" w:rsidP="00874BAE">
      <w:pPr>
        <w:ind w:firstLine="480"/>
      </w:pPr>
      <w:r w:rsidRPr="00275D75">
        <w:rPr>
          <w:rFonts w:hint="eastAsia"/>
          <w:lang w:bidi="ar"/>
        </w:rPr>
        <w:t>校内各单位：</w:t>
      </w:r>
    </w:p>
    <w:p w:rsidR="00874BAE" w:rsidRPr="00275D75" w:rsidRDefault="00874BAE" w:rsidP="00874BAE">
      <w:pPr>
        <w:ind w:firstLine="480"/>
      </w:pPr>
      <w:r w:rsidRPr="00275D75">
        <w:rPr>
          <w:rFonts w:hint="eastAsia"/>
          <w:lang w:bidi="ar"/>
        </w:rPr>
        <w:t>根据《中华人民共和国招标投标法》（主席令第</w:t>
      </w:r>
      <w:r w:rsidRPr="00275D75">
        <w:rPr>
          <w:rFonts w:hint="eastAsia"/>
          <w:lang w:bidi="ar"/>
        </w:rPr>
        <w:t>86</w:t>
      </w:r>
      <w:r w:rsidRPr="00275D75">
        <w:rPr>
          <w:rFonts w:hint="eastAsia"/>
          <w:lang w:bidi="ar"/>
        </w:rPr>
        <w:t>号）、《中华人民共和国招标投标法实施条例》（国务院令第</w:t>
      </w:r>
      <w:r w:rsidRPr="00275D75">
        <w:rPr>
          <w:rFonts w:hint="eastAsia"/>
          <w:lang w:bidi="ar"/>
        </w:rPr>
        <w:t>613</w:t>
      </w:r>
      <w:r w:rsidRPr="00275D75">
        <w:rPr>
          <w:rFonts w:hint="eastAsia"/>
          <w:lang w:bidi="ar"/>
        </w:rPr>
        <w:t>号）、《中华人民共和国政府采购法》（主席令第</w:t>
      </w:r>
      <w:r w:rsidRPr="00275D75">
        <w:rPr>
          <w:rFonts w:hint="eastAsia"/>
          <w:lang w:bidi="ar"/>
        </w:rPr>
        <w:t>14</w:t>
      </w:r>
      <w:r w:rsidRPr="00275D75">
        <w:rPr>
          <w:rFonts w:hint="eastAsia"/>
          <w:lang w:bidi="ar"/>
        </w:rPr>
        <w:t>号）、《中华人民共和国政府采购法实施条例》（国务院令第</w:t>
      </w:r>
      <w:r w:rsidRPr="00275D75">
        <w:rPr>
          <w:rFonts w:hint="eastAsia"/>
          <w:lang w:bidi="ar"/>
        </w:rPr>
        <w:t>658</w:t>
      </w:r>
      <w:r w:rsidRPr="00275D75">
        <w:rPr>
          <w:rFonts w:hint="eastAsia"/>
          <w:lang w:bidi="ar"/>
        </w:rPr>
        <w:t>号）文件精神，为完善学校政府采购与招标管理，进一步提高政府采购与招标效率，优化服务，结合我校实际情况，经学校研究决定，调整《北京师范大学招标工作管理办法》（师校发〔</w:t>
      </w:r>
      <w:r w:rsidRPr="00275D75">
        <w:rPr>
          <w:rFonts w:hint="eastAsia"/>
          <w:lang w:bidi="ar"/>
        </w:rPr>
        <w:t>2008</w:t>
      </w:r>
      <w:r w:rsidRPr="00275D75">
        <w:rPr>
          <w:rFonts w:hint="eastAsia"/>
          <w:lang w:bidi="ar"/>
        </w:rPr>
        <w:t>〕</w:t>
      </w:r>
      <w:r w:rsidRPr="00275D75">
        <w:rPr>
          <w:rFonts w:hint="eastAsia"/>
          <w:lang w:bidi="ar"/>
        </w:rPr>
        <w:t>28</w:t>
      </w:r>
      <w:r w:rsidRPr="00275D75">
        <w:rPr>
          <w:rFonts w:hint="eastAsia"/>
          <w:lang w:bidi="ar"/>
        </w:rPr>
        <w:t>号）中采购限额标准，具体如下：</w:t>
      </w:r>
    </w:p>
    <w:p w:rsidR="00874BAE" w:rsidRPr="00275D75" w:rsidRDefault="00874BAE" w:rsidP="00874BAE">
      <w:pPr>
        <w:ind w:firstLine="480"/>
      </w:pPr>
      <w:r w:rsidRPr="00275D75">
        <w:rPr>
          <w:rFonts w:hint="eastAsia"/>
          <w:lang w:bidi="ar"/>
        </w:rPr>
        <w:t>一、校内各单位的采购项目中，达到以下采购限额标准的，应委托学校采购部门，进行统一采购。</w:t>
      </w:r>
    </w:p>
    <w:p w:rsidR="00874BAE" w:rsidRPr="00275D75" w:rsidRDefault="00874BAE" w:rsidP="00874BAE">
      <w:pPr>
        <w:ind w:firstLine="480"/>
      </w:pPr>
      <w:r w:rsidRPr="00275D75">
        <w:rPr>
          <w:rFonts w:hint="eastAsia"/>
          <w:lang w:bidi="ar"/>
        </w:rPr>
        <w:t xml:space="preserve">1. </w:t>
      </w:r>
      <w:r w:rsidRPr="00275D75">
        <w:rPr>
          <w:rFonts w:hint="eastAsia"/>
          <w:lang w:bidi="ar"/>
        </w:rPr>
        <w:t>教学科研设备采购预算金额</w:t>
      </w:r>
      <w:r w:rsidRPr="00275D75">
        <w:rPr>
          <w:rFonts w:hint="eastAsia"/>
          <w:lang w:bidi="ar"/>
        </w:rPr>
        <w:t>50</w:t>
      </w:r>
      <w:r w:rsidRPr="00275D75">
        <w:rPr>
          <w:rFonts w:hint="eastAsia"/>
          <w:lang w:bidi="ar"/>
        </w:rPr>
        <w:t>万元及以上项目（原为</w:t>
      </w:r>
      <w:r w:rsidRPr="00275D75">
        <w:rPr>
          <w:rFonts w:hint="eastAsia"/>
          <w:lang w:bidi="ar"/>
        </w:rPr>
        <w:t>20</w:t>
      </w:r>
      <w:r w:rsidRPr="00275D75">
        <w:rPr>
          <w:rFonts w:hint="eastAsia"/>
          <w:lang w:bidi="ar"/>
        </w:rPr>
        <w:t>万元以上）；</w:t>
      </w:r>
      <w:r w:rsidRPr="00275D75">
        <w:rPr>
          <w:rFonts w:hint="eastAsia"/>
          <w:lang w:bidi="ar"/>
        </w:rPr>
        <w:t xml:space="preserve"> </w:t>
      </w:r>
    </w:p>
    <w:p w:rsidR="00874BAE" w:rsidRPr="00275D75" w:rsidRDefault="00874BAE" w:rsidP="00874BAE">
      <w:pPr>
        <w:ind w:firstLine="480"/>
      </w:pPr>
      <w:r w:rsidRPr="00275D75">
        <w:rPr>
          <w:rFonts w:hint="eastAsia"/>
          <w:lang w:bidi="ar"/>
        </w:rPr>
        <w:t xml:space="preserve">2. </w:t>
      </w:r>
      <w:r w:rsidRPr="00275D75">
        <w:rPr>
          <w:rFonts w:hint="eastAsia"/>
          <w:lang w:bidi="ar"/>
        </w:rPr>
        <w:t>行政办公设备采购预算金额</w:t>
      </w:r>
      <w:r w:rsidRPr="00275D75">
        <w:rPr>
          <w:rFonts w:hint="eastAsia"/>
          <w:lang w:bidi="ar"/>
        </w:rPr>
        <w:t>50</w:t>
      </w:r>
      <w:r w:rsidRPr="00275D75">
        <w:rPr>
          <w:rFonts w:hint="eastAsia"/>
          <w:lang w:bidi="ar"/>
        </w:rPr>
        <w:t>万元及以上项目（原为</w:t>
      </w:r>
      <w:r w:rsidRPr="00275D75">
        <w:rPr>
          <w:rFonts w:hint="eastAsia"/>
          <w:lang w:bidi="ar"/>
        </w:rPr>
        <w:t>20</w:t>
      </w:r>
      <w:r w:rsidRPr="00275D75">
        <w:rPr>
          <w:rFonts w:hint="eastAsia"/>
          <w:lang w:bidi="ar"/>
        </w:rPr>
        <w:t>万元以上）；</w:t>
      </w:r>
    </w:p>
    <w:p w:rsidR="00874BAE" w:rsidRPr="00275D75" w:rsidRDefault="00874BAE" w:rsidP="00874BAE">
      <w:pPr>
        <w:ind w:firstLine="480"/>
      </w:pPr>
      <w:r w:rsidRPr="00275D75">
        <w:rPr>
          <w:rFonts w:hint="eastAsia"/>
          <w:lang w:bidi="ar"/>
        </w:rPr>
        <w:t xml:space="preserve">3. </w:t>
      </w:r>
      <w:r w:rsidRPr="00275D75">
        <w:rPr>
          <w:rFonts w:hint="eastAsia"/>
          <w:lang w:bidi="ar"/>
        </w:rPr>
        <w:t>家具及其他货物采购预算金额</w:t>
      </w:r>
      <w:r w:rsidRPr="00275D75">
        <w:rPr>
          <w:rFonts w:hint="eastAsia"/>
          <w:lang w:bidi="ar"/>
        </w:rPr>
        <w:t>20</w:t>
      </w:r>
      <w:r w:rsidRPr="00275D75">
        <w:rPr>
          <w:rFonts w:hint="eastAsia"/>
          <w:lang w:bidi="ar"/>
        </w:rPr>
        <w:t>万元及以上项目（原为</w:t>
      </w:r>
      <w:r w:rsidRPr="00275D75">
        <w:rPr>
          <w:rFonts w:hint="eastAsia"/>
          <w:lang w:bidi="ar"/>
        </w:rPr>
        <w:t>20</w:t>
      </w:r>
      <w:r w:rsidRPr="00275D75">
        <w:rPr>
          <w:rFonts w:hint="eastAsia"/>
          <w:lang w:bidi="ar"/>
        </w:rPr>
        <w:t>万元以上）；</w:t>
      </w:r>
      <w:r w:rsidRPr="00275D75">
        <w:rPr>
          <w:rFonts w:hint="eastAsia"/>
          <w:lang w:bidi="ar"/>
        </w:rPr>
        <w:t xml:space="preserve"> </w:t>
      </w:r>
    </w:p>
    <w:p w:rsidR="00874BAE" w:rsidRPr="00275D75" w:rsidRDefault="00874BAE" w:rsidP="00874BAE">
      <w:pPr>
        <w:ind w:firstLine="480"/>
      </w:pPr>
      <w:r w:rsidRPr="00275D75">
        <w:rPr>
          <w:rFonts w:hint="eastAsia"/>
          <w:lang w:bidi="ar"/>
        </w:rPr>
        <w:t xml:space="preserve">4. </w:t>
      </w:r>
      <w:r w:rsidRPr="00275D75">
        <w:rPr>
          <w:rFonts w:hint="eastAsia"/>
          <w:lang w:bidi="ar"/>
        </w:rPr>
        <w:t>服务（非工程相关服务）采购预算金额</w:t>
      </w:r>
      <w:r w:rsidRPr="00275D75">
        <w:rPr>
          <w:rFonts w:hint="eastAsia"/>
          <w:lang w:bidi="ar"/>
        </w:rPr>
        <w:t>20</w:t>
      </w:r>
      <w:r w:rsidRPr="00275D75">
        <w:rPr>
          <w:rFonts w:hint="eastAsia"/>
          <w:lang w:bidi="ar"/>
        </w:rPr>
        <w:t>万元及以上项目（原为</w:t>
      </w:r>
      <w:r w:rsidRPr="00275D75">
        <w:rPr>
          <w:rFonts w:hint="eastAsia"/>
          <w:lang w:bidi="ar"/>
        </w:rPr>
        <w:t>10</w:t>
      </w:r>
      <w:r w:rsidRPr="00275D75">
        <w:rPr>
          <w:rFonts w:hint="eastAsia"/>
          <w:lang w:bidi="ar"/>
        </w:rPr>
        <w:t>万元以上）；</w:t>
      </w:r>
    </w:p>
    <w:p w:rsidR="00874BAE" w:rsidRPr="00275D75" w:rsidRDefault="00874BAE" w:rsidP="00874BAE">
      <w:pPr>
        <w:ind w:firstLine="480"/>
        <w:rPr>
          <w:spacing w:val="4"/>
        </w:rPr>
      </w:pPr>
      <w:r w:rsidRPr="00275D75">
        <w:rPr>
          <w:rFonts w:hint="eastAsia"/>
          <w:lang w:bidi="ar"/>
        </w:rPr>
        <w:t xml:space="preserve">5. </w:t>
      </w:r>
      <w:r w:rsidRPr="00275D75">
        <w:rPr>
          <w:rFonts w:hint="eastAsia"/>
          <w:spacing w:val="4"/>
          <w:lang w:bidi="ar"/>
        </w:rPr>
        <w:t>服务</w:t>
      </w:r>
      <w:r w:rsidRPr="00275D75">
        <w:rPr>
          <w:rFonts w:hint="eastAsia"/>
          <w:spacing w:val="4"/>
        </w:rPr>
        <w:t>（工程相关服务）采购预算金额</w:t>
      </w:r>
      <w:r w:rsidRPr="00275D75">
        <w:rPr>
          <w:rFonts w:hint="eastAsia"/>
          <w:spacing w:val="4"/>
        </w:rPr>
        <w:t>50</w:t>
      </w:r>
      <w:r w:rsidRPr="00275D75">
        <w:rPr>
          <w:rFonts w:hint="eastAsia"/>
          <w:spacing w:val="4"/>
        </w:rPr>
        <w:t>万元及以上项目（原为</w:t>
      </w:r>
      <w:r w:rsidRPr="00275D75">
        <w:rPr>
          <w:rFonts w:hint="eastAsia"/>
          <w:spacing w:val="4"/>
        </w:rPr>
        <w:t>20</w:t>
      </w:r>
      <w:r w:rsidRPr="00275D75">
        <w:rPr>
          <w:rFonts w:hint="eastAsia"/>
          <w:spacing w:val="4"/>
        </w:rPr>
        <w:t>万元以上）；</w:t>
      </w:r>
      <w:r w:rsidRPr="00275D75">
        <w:rPr>
          <w:rFonts w:hint="eastAsia"/>
          <w:spacing w:val="4"/>
        </w:rPr>
        <w:t xml:space="preserve"> </w:t>
      </w:r>
    </w:p>
    <w:p w:rsidR="00874BAE" w:rsidRPr="00275D75" w:rsidRDefault="00874BAE" w:rsidP="00874BAE">
      <w:pPr>
        <w:ind w:firstLine="480"/>
      </w:pPr>
      <w:r w:rsidRPr="00275D75">
        <w:rPr>
          <w:rFonts w:hint="eastAsia"/>
          <w:lang w:bidi="ar"/>
        </w:rPr>
        <w:t xml:space="preserve">6. </w:t>
      </w:r>
      <w:r w:rsidRPr="00275D75">
        <w:rPr>
          <w:rFonts w:hint="eastAsia"/>
          <w:lang w:bidi="ar"/>
        </w:rPr>
        <w:t>修缮工程采购预算金额</w:t>
      </w:r>
      <w:r w:rsidRPr="00275D75">
        <w:rPr>
          <w:rFonts w:hint="eastAsia"/>
          <w:lang w:bidi="ar"/>
        </w:rPr>
        <w:t>50</w:t>
      </w:r>
      <w:r w:rsidRPr="00275D75">
        <w:rPr>
          <w:rFonts w:hint="eastAsia"/>
          <w:lang w:bidi="ar"/>
        </w:rPr>
        <w:t>万元及以上项目（原为</w:t>
      </w:r>
      <w:r w:rsidRPr="00275D75">
        <w:rPr>
          <w:rFonts w:hint="eastAsia"/>
          <w:lang w:bidi="ar"/>
        </w:rPr>
        <w:t>20</w:t>
      </w:r>
      <w:r w:rsidRPr="00275D75">
        <w:rPr>
          <w:rFonts w:hint="eastAsia"/>
          <w:lang w:bidi="ar"/>
        </w:rPr>
        <w:t>万元以上）；</w:t>
      </w:r>
    </w:p>
    <w:p w:rsidR="00874BAE" w:rsidRPr="00275D75" w:rsidRDefault="00874BAE" w:rsidP="00874BAE">
      <w:pPr>
        <w:ind w:firstLine="480"/>
      </w:pPr>
      <w:r w:rsidRPr="00275D75">
        <w:rPr>
          <w:rFonts w:hint="eastAsia"/>
          <w:lang w:bidi="ar"/>
        </w:rPr>
        <w:t xml:space="preserve">7. </w:t>
      </w:r>
      <w:r w:rsidRPr="00275D75">
        <w:rPr>
          <w:rFonts w:hint="eastAsia"/>
          <w:lang w:bidi="ar"/>
        </w:rPr>
        <w:t>基建工程采购预算金额</w:t>
      </w:r>
      <w:r w:rsidRPr="00275D75">
        <w:rPr>
          <w:rFonts w:hint="eastAsia"/>
          <w:lang w:bidi="ar"/>
        </w:rPr>
        <w:t>100</w:t>
      </w:r>
      <w:r w:rsidRPr="00275D75">
        <w:rPr>
          <w:rFonts w:hint="eastAsia"/>
          <w:lang w:bidi="ar"/>
        </w:rPr>
        <w:t>万元及以上项目（原为</w:t>
      </w:r>
      <w:r w:rsidRPr="00275D75">
        <w:rPr>
          <w:rFonts w:hint="eastAsia"/>
          <w:lang w:bidi="ar"/>
        </w:rPr>
        <w:t>40</w:t>
      </w:r>
      <w:r w:rsidRPr="00275D75">
        <w:rPr>
          <w:rFonts w:hint="eastAsia"/>
          <w:lang w:bidi="ar"/>
        </w:rPr>
        <w:t>万元以上）。</w:t>
      </w:r>
    </w:p>
    <w:p w:rsidR="00874BAE" w:rsidRPr="00275D75" w:rsidRDefault="00874BAE" w:rsidP="00874BAE">
      <w:pPr>
        <w:ind w:firstLine="480"/>
      </w:pPr>
      <w:r w:rsidRPr="00275D75">
        <w:rPr>
          <w:rFonts w:hint="eastAsia"/>
          <w:lang w:bidi="ar"/>
        </w:rPr>
        <w:t xml:space="preserve">8. </w:t>
      </w:r>
      <w:r w:rsidRPr="00275D75">
        <w:rPr>
          <w:rFonts w:hint="eastAsia"/>
          <w:lang w:bidi="ar"/>
        </w:rPr>
        <w:t>纳入当年中央预算单位政府采购目录范围内的采购项目。</w:t>
      </w:r>
    </w:p>
    <w:p w:rsidR="00874BAE" w:rsidRPr="00275D75" w:rsidRDefault="00874BAE" w:rsidP="00874BAE">
      <w:pPr>
        <w:pStyle w:val="a8"/>
        <w:spacing w:before="156"/>
        <w:rPr>
          <w:rFonts w:hint="eastAsia"/>
          <w:lang w:bidi="ar"/>
        </w:rPr>
      </w:pPr>
      <w:r w:rsidRPr="00275D75">
        <w:rPr>
          <w:rFonts w:hint="eastAsia"/>
          <w:lang w:bidi="ar"/>
        </w:rPr>
        <w:t>北京师范大学校定采购限额标准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7"/>
        <w:gridCol w:w="2758"/>
        <w:gridCol w:w="2781"/>
      </w:tblGrid>
      <w:tr w:rsidR="00874BAE" w:rsidRPr="00275D75" w:rsidTr="0023581A">
        <w:trPr>
          <w:trHeight w:val="284"/>
          <w:jc w:val="center"/>
        </w:trPr>
        <w:tc>
          <w:tcPr>
            <w:tcW w:w="3061" w:type="dxa"/>
            <w:shd w:val="clear" w:color="auto" w:fill="auto"/>
            <w:vAlign w:val="center"/>
          </w:tcPr>
          <w:p w:rsidR="00874BAE" w:rsidRPr="00275D75" w:rsidRDefault="00874BAE" w:rsidP="0023581A">
            <w:pPr>
              <w:pStyle w:val="a7"/>
              <w:rPr>
                <w:rFonts w:hint="eastAsia"/>
              </w:rPr>
            </w:pPr>
            <w:r w:rsidRPr="00275D75">
              <w:rPr>
                <w:rFonts w:hint="eastAsia"/>
              </w:rPr>
              <w:t>采购分类</w:t>
            </w:r>
          </w:p>
        </w:tc>
        <w:tc>
          <w:tcPr>
            <w:tcW w:w="3062" w:type="dxa"/>
            <w:shd w:val="clear" w:color="auto" w:fill="auto"/>
            <w:vAlign w:val="center"/>
          </w:tcPr>
          <w:p w:rsidR="00874BAE" w:rsidRPr="00275D75" w:rsidRDefault="00874BAE" w:rsidP="0023581A">
            <w:pPr>
              <w:pStyle w:val="a7"/>
              <w:rPr>
                <w:rFonts w:hint="eastAsia"/>
              </w:rPr>
            </w:pPr>
            <w:r w:rsidRPr="00275D75">
              <w:rPr>
                <w:rFonts w:hint="eastAsia"/>
              </w:rPr>
              <w:t>子分类</w:t>
            </w:r>
          </w:p>
        </w:tc>
        <w:tc>
          <w:tcPr>
            <w:tcW w:w="3062" w:type="dxa"/>
            <w:shd w:val="clear" w:color="auto" w:fill="auto"/>
            <w:vAlign w:val="center"/>
          </w:tcPr>
          <w:p w:rsidR="00874BAE" w:rsidRPr="00275D75" w:rsidRDefault="00874BAE" w:rsidP="0023581A">
            <w:pPr>
              <w:pStyle w:val="a7"/>
              <w:rPr>
                <w:rFonts w:hint="eastAsia"/>
              </w:rPr>
            </w:pPr>
            <w:r w:rsidRPr="00275D75">
              <w:rPr>
                <w:rFonts w:hint="eastAsia"/>
              </w:rPr>
              <w:t>学校采购限额标准（万元）</w:t>
            </w:r>
          </w:p>
        </w:tc>
      </w:tr>
      <w:tr w:rsidR="00874BAE" w:rsidRPr="00275D75" w:rsidTr="0023581A">
        <w:trPr>
          <w:trHeight w:val="284"/>
          <w:jc w:val="center"/>
        </w:trPr>
        <w:tc>
          <w:tcPr>
            <w:tcW w:w="3061" w:type="dxa"/>
            <w:vMerge w:val="restart"/>
            <w:shd w:val="clear" w:color="auto" w:fill="auto"/>
            <w:vAlign w:val="center"/>
          </w:tcPr>
          <w:p w:rsidR="00874BAE" w:rsidRPr="00275D75" w:rsidRDefault="00874BAE" w:rsidP="0023581A">
            <w:pPr>
              <w:pStyle w:val="a7"/>
              <w:jc w:val="left"/>
              <w:rPr>
                <w:rFonts w:hint="eastAsia"/>
              </w:rPr>
            </w:pPr>
            <w:r w:rsidRPr="00275D75">
              <w:rPr>
                <w:rFonts w:hint="eastAsia"/>
              </w:rPr>
              <w:t>货物</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教学科研设备</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50</w:t>
            </w:r>
          </w:p>
        </w:tc>
      </w:tr>
      <w:tr w:rsidR="00874BAE" w:rsidRPr="00275D75" w:rsidTr="0023581A">
        <w:trPr>
          <w:trHeight w:val="284"/>
          <w:jc w:val="center"/>
        </w:trPr>
        <w:tc>
          <w:tcPr>
            <w:tcW w:w="3061" w:type="dxa"/>
            <w:vMerge/>
            <w:shd w:val="clear" w:color="auto" w:fill="auto"/>
          </w:tcPr>
          <w:p w:rsidR="00874BAE" w:rsidRPr="00275D75" w:rsidRDefault="00874BAE" w:rsidP="0023581A">
            <w:pPr>
              <w:pStyle w:val="a7"/>
              <w:jc w:val="left"/>
            </w:pPr>
          </w:p>
        </w:tc>
        <w:tc>
          <w:tcPr>
            <w:tcW w:w="3062" w:type="dxa"/>
            <w:shd w:val="clear" w:color="auto" w:fill="auto"/>
          </w:tcPr>
          <w:p w:rsidR="00874BAE" w:rsidRPr="00275D75" w:rsidRDefault="00874BAE" w:rsidP="0023581A">
            <w:pPr>
              <w:pStyle w:val="a7"/>
              <w:jc w:val="left"/>
              <w:rPr>
                <w:rFonts w:hint="eastAsia"/>
              </w:rPr>
            </w:pPr>
            <w:r w:rsidRPr="00275D75">
              <w:rPr>
                <w:rFonts w:hint="eastAsia"/>
              </w:rPr>
              <w:t>行政办公设备</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50</w:t>
            </w:r>
          </w:p>
        </w:tc>
      </w:tr>
      <w:tr w:rsidR="00874BAE" w:rsidRPr="00275D75" w:rsidTr="0023581A">
        <w:trPr>
          <w:trHeight w:val="284"/>
          <w:jc w:val="center"/>
        </w:trPr>
        <w:tc>
          <w:tcPr>
            <w:tcW w:w="3061" w:type="dxa"/>
            <w:vMerge/>
            <w:shd w:val="clear" w:color="auto" w:fill="auto"/>
          </w:tcPr>
          <w:p w:rsidR="00874BAE" w:rsidRPr="00275D75" w:rsidRDefault="00874BAE" w:rsidP="0023581A">
            <w:pPr>
              <w:pStyle w:val="a7"/>
              <w:jc w:val="left"/>
            </w:pPr>
          </w:p>
        </w:tc>
        <w:tc>
          <w:tcPr>
            <w:tcW w:w="3062" w:type="dxa"/>
            <w:shd w:val="clear" w:color="auto" w:fill="auto"/>
          </w:tcPr>
          <w:p w:rsidR="00874BAE" w:rsidRPr="00275D75" w:rsidRDefault="00874BAE" w:rsidP="0023581A">
            <w:pPr>
              <w:pStyle w:val="a7"/>
              <w:jc w:val="left"/>
              <w:rPr>
                <w:rFonts w:hint="eastAsia"/>
              </w:rPr>
            </w:pPr>
            <w:r w:rsidRPr="00275D75">
              <w:rPr>
                <w:rFonts w:hint="eastAsia"/>
              </w:rPr>
              <w:t>家具及其他货物</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20</w:t>
            </w:r>
          </w:p>
        </w:tc>
      </w:tr>
      <w:tr w:rsidR="00874BAE" w:rsidRPr="00275D75" w:rsidTr="0023581A">
        <w:trPr>
          <w:trHeight w:val="284"/>
          <w:jc w:val="center"/>
        </w:trPr>
        <w:tc>
          <w:tcPr>
            <w:tcW w:w="3061" w:type="dxa"/>
            <w:vMerge w:val="restart"/>
            <w:shd w:val="clear" w:color="auto" w:fill="auto"/>
            <w:vAlign w:val="center"/>
          </w:tcPr>
          <w:p w:rsidR="00874BAE" w:rsidRPr="00275D75" w:rsidRDefault="00874BAE" w:rsidP="0023581A">
            <w:pPr>
              <w:pStyle w:val="a7"/>
              <w:jc w:val="left"/>
              <w:rPr>
                <w:rFonts w:hint="eastAsia"/>
              </w:rPr>
            </w:pPr>
            <w:r w:rsidRPr="00275D75">
              <w:rPr>
                <w:rFonts w:hint="eastAsia"/>
              </w:rPr>
              <w:t>服务</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非工程相关服务</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20</w:t>
            </w:r>
          </w:p>
        </w:tc>
      </w:tr>
      <w:tr w:rsidR="00874BAE" w:rsidRPr="00275D75" w:rsidTr="0023581A">
        <w:trPr>
          <w:trHeight w:val="284"/>
          <w:jc w:val="center"/>
        </w:trPr>
        <w:tc>
          <w:tcPr>
            <w:tcW w:w="3061" w:type="dxa"/>
            <w:vMerge/>
            <w:shd w:val="clear" w:color="auto" w:fill="auto"/>
          </w:tcPr>
          <w:p w:rsidR="00874BAE" w:rsidRPr="00275D75" w:rsidRDefault="00874BAE" w:rsidP="0023581A">
            <w:pPr>
              <w:pStyle w:val="a7"/>
              <w:jc w:val="left"/>
            </w:pPr>
          </w:p>
        </w:tc>
        <w:tc>
          <w:tcPr>
            <w:tcW w:w="3062" w:type="dxa"/>
            <w:shd w:val="clear" w:color="auto" w:fill="auto"/>
          </w:tcPr>
          <w:p w:rsidR="00874BAE" w:rsidRPr="00275D75" w:rsidRDefault="00874BAE" w:rsidP="0023581A">
            <w:pPr>
              <w:pStyle w:val="a7"/>
              <w:jc w:val="left"/>
              <w:rPr>
                <w:rFonts w:hint="eastAsia"/>
              </w:rPr>
            </w:pPr>
            <w:r w:rsidRPr="00275D75">
              <w:rPr>
                <w:rFonts w:hint="eastAsia"/>
              </w:rPr>
              <w:t>工程相关服务</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50</w:t>
            </w:r>
          </w:p>
        </w:tc>
      </w:tr>
      <w:tr w:rsidR="00874BAE" w:rsidRPr="00275D75" w:rsidTr="0023581A">
        <w:trPr>
          <w:trHeight w:val="284"/>
          <w:jc w:val="center"/>
        </w:trPr>
        <w:tc>
          <w:tcPr>
            <w:tcW w:w="3061" w:type="dxa"/>
            <w:vMerge w:val="restart"/>
            <w:shd w:val="clear" w:color="auto" w:fill="auto"/>
            <w:vAlign w:val="center"/>
          </w:tcPr>
          <w:p w:rsidR="00874BAE" w:rsidRPr="00275D75" w:rsidRDefault="00874BAE" w:rsidP="0023581A">
            <w:pPr>
              <w:pStyle w:val="a7"/>
              <w:jc w:val="left"/>
              <w:rPr>
                <w:rFonts w:hint="eastAsia"/>
              </w:rPr>
            </w:pPr>
            <w:r w:rsidRPr="00275D75">
              <w:rPr>
                <w:rFonts w:hint="eastAsia"/>
              </w:rPr>
              <w:t>工程</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修缮工程</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50</w:t>
            </w:r>
          </w:p>
        </w:tc>
      </w:tr>
      <w:tr w:rsidR="00874BAE" w:rsidRPr="00275D75" w:rsidTr="0023581A">
        <w:trPr>
          <w:trHeight w:val="284"/>
          <w:jc w:val="center"/>
        </w:trPr>
        <w:tc>
          <w:tcPr>
            <w:tcW w:w="3061" w:type="dxa"/>
            <w:vMerge/>
            <w:shd w:val="clear" w:color="auto" w:fill="auto"/>
          </w:tcPr>
          <w:p w:rsidR="00874BAE" w:rsidRPr="00275D75" w:rsidRDefault="00874BAE" w:rsidP="0023581A">
            <w:pPr>
              <w:pStyle w:val="a7"/>
              <w:jc w:val="left"/>
            </w:pPr>
          </w:p>
        </w:tc>
        <w:tc>
          <w:tcPr>
            <w:tcW w:w="3062" w:type="dxa"/>
            <w:shd w:val="clear" w:color="auto" w:fill="auto"/>
          </w:tcPr>
          <w:p w:rsidR="00874BAE" w:rsidRPr="00275D75" w:rsidRDefault="00874BAE" w:rsidP="0023581A">
            <w:pPr>
              <w:pStyle w:val="a7"/>
              <w:jc w:val="left"/>
              <w:rPr>
                <w:rFonts w:hint="eastAsia"/>
              </w:rPr>
            </w:pPr>
            <w:r w:rsidRPr="00275D75">
              <w:rPr>
                <w:rFonts w:hint="eastAsia"/>
              </w:rPr>
              <w:t>基建工程</w:t>
            </w:r>
          </w:p>
        </w:tc>
        <w:tc>
          <w:tcPr>
            <w:tcW w:w="3062" w:type="dxa"/>
            <w:shd w:val="clear" w:color="auto" w:fill="auto"/>
          </w:tcPr>
          <w:p w:rsidR="00874BAE" w:rsidRPr="00275D75" w:rsidRDefault="00874BAE" w:rsidP="0023581A">
            <w:pPr>
              <w:pStyle w:val="a7"/>
              <w:jc w:val="left"/>
              <w:rPr>
                <w:rFonts w:hint="eastAsia"/>
              </w:rPr>
            </w:pPr>
            <w:r w:rsidRPr="00275D75">
              <w:rPr>
                <w:rFonts w:hint="eastAsia"/>
              </w:rPr>
              <w:t>100</w:t>
            </w:r>
          </w:p>
        </w:tc>
      </w:tr>
    </w:tbl>
    <w:p w:rsidR="00874BAE" w:rsidRPr="00275D75" w:rsidRDefault="00874BAE" w:rsidP="00874BAE">
      <w:pPr>
        <w:spacing w:before="240"/>
        <w:ind w:firstLine="480"/>
        <w:rPr>
          <w:lang w:bidi="ar"/>
        </w:rPr>
      </w:pPr>
      <w:r w:rsidRPr="00275D75">
        <w:rPr>
          <w:rFonts w:hint="eastAsia"/>
          <w:lang w:bidi="ar"/>
        </w:rPr>
        <w:t>二、未达到上述采购限额标准的采购项目，校内各单位应</w:t>
      </w:r>
      <w:r w:rsidRPr="00275D75">
        <w:t>按照学校有关</w:t>
      </w:r>
      <w:r w:rsidRPr="00275D75">
        <w:rPr>
          <w:rFonts w:hint="eastAsia"/>
        </w:rPr>
        <w:t>采</w:t>
      </w:r>
      <w:r w:rsidRPr="00275D75">
        <w:rPr>
          <w:rFonts w:hint="eastAsia"/>
          <w:lang w:bidi="ar"/>
        </w:rPr>
        <w:t>购限额标准以下项目的采购实施指导意见</w:t>
      </w:r>
      <w:r w:rsidRPr="00275D75">
        <w:rPr>
          <w:rFonts w:hint="eastAsia"/>
        </w:rPr>
        <w:t>，</w:t>
      </w:r>
      <w:r w:rsidRPr="00275D75">
        <w:t>进行采购</w:t>
      </w:r>
      <w:r w:rsidRPr="00275D75">
        <w:rPr>
          <w:rFonts w:hint="eastAsia"/>
        </w:rPr>
        <w:t>。</w:t>
      </w:r>
    </w:p>
    <w:p w:rsidR="00874BAE" w:rsidRPr="00275D75" w:rsidRDefault="00874BAE" w:rsidP="00874BAE">
      <w:pPr>
        <w:ind w:firstLine="480"/>
      </w:pPr>
      <w:r w:rsidRPr="00275D75">
        <w:rPr>
          <w:rFonts w:hint="eastAsia"/>
          <w:lang w:bidi="ar"/>
        </w:rPr>
        <w:t>三、校内各单位应加强采购计划管理，科学、准确地编制采购计划，压缩采购批次，降低采购成本，提高采购质量和效率。任何单位和个人不得将应纳入学校采购限额标准范围内的采购项目化整为零，或者以其他任何方式规避学校统一采购。</w:t>
      </w:r>
    </w:p>
    <w:p w:rsidR="00874BAE" w:rsidRPr="00275D75" w:rsidRDefault="00874BAE" w:rsidP="00874BAE">
      <w:pPr>
        <w:ind w:firstLine="480"/>
        <w:rPr>
          <w:rFonts w:cs="仿宋_GB2312"/>
        </w:rPr>
      </w:pPr>
      <w:r w:rsidRPr="00275D75">
        <w:rPr>
          <w:rFonts w:hint="eastAsia"/>
          <w:lang w:bidi="ar"/>
        </w:rPr>
        <w:t>四、本通知自</w:t>
      </w:r>
      <w:r w:rsidRPr="00275D75">
        <w:rPr>
          <w:rFonts w:hint="eastAsia"/>
          <w:lang w:bidi="ar"/>
        </w:rPr>
        <w:t>2020</w:t>
      </w:r>
      <w:r w:rsidRPr="00275D75">
        <w:rPr>
          <w:rFonts w:hint="eastAsia"/>
          <w:lang w:bidi="ar"/>
        </w:rPr>
        <w:t>年</w:t>
      </w:r>
      <w:r w:rsidRPr="00275D75">
        <w:rPr>
          <w:rFonts w:hint="eastAsia"/>
          <w:lang w:bidi="ar"/>
        </w:rPr>
        <w:t>1</w:t>
      </w:r>
      <w:r w:rsidRPr="00275D75">
        <w:rPr>
          <w:rFonts w:hint="eastAsia"/>
          <w:lang w:bidi="ar"/>
        </w:rPr>
        <w:t>月</w:t>
      </w:r>
      <w:r w:rsidRPr="00275D75">
        <w:rPr>
          <w:rFonts w:hint="eastAsia"/>
          <w:lang w:bidi="ar"/>
        </w:rPr>
        <w:t>1</w:t>
      </w:r>
      <w:r w:rsidRPr="00275D75">
        <w:rPr>
          <w:rFonts w:hint="eastAsia"/>
          <w:lang w:bidi="ar"/>
        </w:rPr>
        <w:t>日起实施，由国有资产管理处（政府采购与招标管理工作办公室）负责解释。原有文件与本通知不一致的，以本通知为准。</w:t>
      </w:r>
    </w:p>
    <w:p w:rsidR="00874BAE" w:rsidRPr="00275D75" w:rsidRDefault="00874BAE" w:rsidP="00874BAE">
      <w:pPr>
        <w:ind w:firstLine="480"/>
        <w:rPr>
          <w:rFonts w:hint="eastAsia"/>
        </w:rPr>
      </w:pPr>
    </w:p>
    <w:p w:rsidR="00874BAE" w:rsidRPr="00275D75" w:rsidRDefault="00874BAE" w:rsidP="00874BAE">
      <w:pPr>
        <w:ind w:rightChars="300" w:right="720" w:firstLine="480"/>
        <w:jc w:val="right"/>
      </w:pPr>
      <w:r w:rsidRPr="00275D75">
        <w:rPr>
          <w:rFonts w:hint="eastAsia"/>
          <w:lang w:bidi="ar"/>
        </w:rPr>
        <w:t xml:space="preserve"> </w:t>
      </w:r>
      <w:r w:rsidRPr="00275D75">
        <w:rPr>
          <w:lang w:bidi="ar"/>
        </w:rPr>
        <w:t xml:space="preserve">                        </w:t>
      </w:r>
      <w:r w:rsidRPr="00275D75">
        <w:rPr>
          <w:rFonts w:hint="eastAsia"/>
          <w:lang w:bidi="ar"/>
        </w:rPr>
        <w:t>北京师范大学</w:t>
      </w:r>
    </w:p>
    <w:p w:rsidR="00874BAE" w:rsidRPr="00275D75" w:rsidRDefault="00874BAE" w:rsidP="00874BAE">
      <w:pPr>
        <w:ind w:rightChars="200" w:right="480" w:firstLine="480"/>
        <w:jc w:val="right"/>
        <w:rPr>
          <w:rFonts w:ascii="仿宋_GB2312" w:eastAsia="仿宋_GB2312" w:hAnsi="华文仿宋" w:hint="eastAsia"/>
          <w:sz w:val="30"/>
          <w:szCs w:val="30"/>
        </w:rPr>
      </w:pPr>
      <w:r w:rsidRPr="00275D75">
        <w:rPr>
          <w:rFonts w:hint="eastAsia"/>
          <w:lang w:bidi="ar"/>
        </w:rPr>
        <w:t>2019</w:t>
      </w:r>
      <w:r w:rsidRPr="00275D75">
        <w:rPr>
          <w:rFonts w:hint="eastAsia"/>
          <w:lang w:bidi="ar"/>
        </w:rPr>
        <w:t>年</w:t>
      </w:r>
      <w:r w:rsidRPr="00275D75">
        <w:rPr>
          <w:lang w:bidi="ar"/>
        </w:rPr>
        <w:t>12</w:t>
      </w:r>
      <w:r w:rsidRPr="00275D75">
        <w:rPr>
          <w:rFonts w:hint="eastAsia"/>
          <w:lang w:bidi="ar"/>
        </w:rPr>
        <w:t>月</w:t>
      </w:r>
      <w:r w:rsidRPr="00275D75">
        <w:rPr>
          <w:lang w:bidi="ar"/>
        </w:rPr>
        <w:t>11</w:t>
      </w:r>
      <w:r w:rsidRPr="00275D75">
        <w:rPr>
          <w:rFonts w:hint="eastAsia"/>
          <w:lang w:bidi="ar"/>
        </w:rPr>
        <w:t>日</w:t>
      </w:r>
    </w:p>
    <w:p w:rsidR="00874BAE" w:rsidRPr="00275D75" w:rsidRDefault="00874BAE" w:rsidP="00874BAE">
      <w:pPr>
        <w:spacing w:line="600" w:lineRule="atLeast"/>
        <w:ind w:firstLine="640"/>
        <w:jc w:val="left"/>
        <w:rPr>
          <w:rFonts w:ascii="仿宋_GB2312" w:eastAsia="仿宋_GB2312" w:hAnsi="仿宋"/>
          <w:sz w:val="32"/>
        </w:rPr>
      </w:pPr>
    </w:p>
    <w:tbl>
      <w:tblPr>
        <w:tblW w:w="49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140"/>
      </w:tblGrid>
      <w:tr w:rsidR="00874BAE" w:rsidRPr="00275D75" w:rsidTr="0023581A">
        <w:trPr>
          <w:trHeight w:val="397"/>
          <w:jc w:val="center"/>
        </w:trPr>
        <w:tc>
          <w:tcPr>
            <w:tcW w:w="9213" w:type="dxa"/>
            <w:tcMar>
              <w:top w:w="0" w:type="dxa"/>
              <w:left w:w="108" w:type="dxa"/>
              <w:bottom w:w="0" w:type="dxa"/>
              <w:right w:w="108" w:type="dxa"/>
            </w:tcMar>
            <w:vAlign w:val="center"/>
          </w:tcPr>
          <w:p w:rsidR="00874BAE" w:rsidRPr="00275D75" w:rsidRDefault="00874BAE" w:rsidP="0023581A">
            <w:pPr>
              <w:spacing w:line="0" w:lineRule="atLeast"/>
              <w:ind w:firstLineChars="0" w:firstLine="0"/>
              <w:rPr>
                <w:rFonts w:hint="eastAsia"/>
              </w:rPr>
            </w:pPr>
            <w:r w:rsidRPr="00275D75">
              <w:rPr>
                <w:rFonts w:hint="eastAsia"/>
              </w:rPr>
              <w:t>北京师范大学校长办公室</w:t>
            </w:r>
            <w:r w:rsidRPr="00275D75">
              <w:rPr>
                <w:rFonts w:hint="eastAsia"/>
              </w:rPr>
              <w:t xml:space="preserve">                          </w:t>
            </w:r>
            <w:r w:rsidRPr="00275D75">
              <w:t>2019</w:t>
            </w:r>
            <w:r w:rsidRPr="00275D75">
              <w:rPr>
                <w:rFonts w:hint="eastAsia"/>
              </w:rPr>
              <w:t>年</w:t>
            </w:r>
            <w:r w:rsidRPr="00275D75">
              <w:t>12</w:t>
            </w:r>
            <w:r w:rsidRPr="00275D75">
              <w:rPr>
                <w:rFonts w:hint="eastAsia"/>
              </w:rPr>
              <w:t>月</w:t>
            </w:r>
            <w:r w:rsidRPr="00275D75">
              <w:t>11</w:t>
            </w:r>
            <w:r w:rsidRPr="00275D75">
              <w:rPr>
                <w:rFonts w:hint="eastAsia"/>
              </w:rPr>
              <w:t>日印发</w:t>
            </w:r>
          </w:p>
        </w:tc>
      </w:tr>
    </w:tbl>
    <w:p w:rsidR="007B4EB4" w:rsidRPr="00874BAE" w:rsidRDefault="007B4EB4">
      <w:pPr>
        <w:ind w:firstLine="480"/>
      </w:pPr>
      <w:bookmarkStart w:id="0" w:name="_GoBack"/>
      <w:bookmarkEnd w:id="0"/>
    </w:p>
    <w:sectPr w:rsidR="007B4EB4" w:rsidRPr="00874B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7AE" w:rsidRDefault="00C917AE" w:rsidP="00874BAE">
      <w:pPr>
        <w:spacing w:line="240" w:lineRule="auto"/>
        <w:ind w:firstLine="480"/>
      </w:pPr>
      <w:r>
        <w:separator/>
      </w:r>
    </w:p>
  </w:endnote>
  <w:endnote w:type="continuationSeparator" w:id="0">
    <w:p w:rsidR="00C917AE" w:rsidRDefault="00C917AE" w:rsidP="00874BA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7AE" w:rsidRDefault="00C917AE" w:rsidP="00874BAE">
      <w:pPr>
        <w:spacing w:line="240" w:lineRule="auto"/>
        <w:ind w:firstLine="480"/>
      </w:pPr>
      <w:r>
        <w:separator/>
      </w:r>
    </w:p>
  </w:footnote>
  <w:footnote w:type="continuationSeparator" w:id="0">
    <w:p w:rsidR="00C917AE" w:rsidRDefault="00C917AE" w:rsidP="00874BAE">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80F"/>
    <w:rsid w:val="006F1356"/>
    <w:rsid w:val="007B4EB4"/>
    <w:rsid w:val="00874BAE"/>
    <w:rsid w:val="00C917AE"/>
    <w:rsid w:val="00E94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89F961-5FCF-4E6E-8B56-AE459DAC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BAE"/>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4BAE"/>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74BAE"/>
    <w:rPr>
      <w:sz w:val="18"/>
      <w:szCs w:val="18"/>
    </w:rPr>
  </w:style>
  <w:style w:type="paragraph" w:styleId="a5">
    <w:name w:val="footer"/>
    <w:basedOn w:val="a"/>
    <w:link w:val="a6"/>
    <w:uiPriority w:val="99"/>
    <w:unhideWhenUsed/>
    <w:rsid w:val="00874BAE"/>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74BAE"/>
    <w:rPr>
      <w:sz w:val="18"/>
      <w:szCs w:val="18"/>
    </w:rPr>
  </w:style>
  <w:style w:type="paragraph" w:customStyle="1" w:styleId="a7">
    <w:name w:val="表格"/>
    <w:qFormat/>
    <w:rsid w:val="00874BAE"/>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8">
    <w:name w:val="表题"/>
    <w:qFormat/>
    <w:rsid w:val="00874BAE"/>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1">
    <w:name w:val="样式1"/>
    <w:qFormat/>
    <w:rsid w:val="00874BAE"/>
    <w:pPr>
      <w:keepNext/>
      <w:keepLines/>
      <w:widowControl w:val="0"/>
      <w:overflowPunct w:val="0"/>
      <w:adjustRightInd w:val="0"/>
      <w:snapToGrid w:val="0"/>
      <w:spacing w:beforeLines="150" w:before="150" w:afterLines="150" w:after="150" w:line="447" w:lineRule="atLeast"/>
      <w:jc w:val="center"/>
    </w:pPr>
    <w:rPr>
      <w:rFonts w:ascii="Times New Roman bold" w:eastAsia="黑体" w:hAnsi="Times New Roman bold" w:cs="Times New Roman"/>
      <w:bCs/>
      <w:sz w:val="32"/>
      <w:szCs w:val="32"/>
      <w:lang w:val="zh-TW" w:eastAsia="zh-TW"/>
    </w:rPr>
  </w:style>
  <w:style w:type="paragraph" w:customStyle="1" w:styleId="2">
    <w:name w:val="样式2"/>
    <w:qFormat/>
    <w:rsid w:val="00874BAE"/>
    <w:pPr>
      <w:keepNext/>
      <w:keepLines/>
      <w:pageBreakBefore/>
      <w:tabs>
        <w:tab w:val="left" w:pos="720"/>
      </w:tabs>
      <w:overflowPunct w:val="0"/>
      <w:spacing w:line="447" w:lineRule="atLeast"/>
      <w:jc w:val="center"/>
    </w:pPr>
    <w:rPr>
      <w:rFonts w:ascii="华文中宋" w:eastAsia="华文中宋" w:hAnsi="华文中宋" w:cs="Times New Roman"/>
      <w:b/>
      <w:color w:val="FF0000"/>
      <w:spacing w:val="-4"/>
      <w:w w:val="65"/>
      <w:sz w:val="70"/>
      <w:szCs w:val="100"/>
    </w:rPr>
  </w:style>
  <w:style w:type="paragraph" w:customStyle="1" w:styleId="3">
    <w:name w:val="样式3"/>
    <w:qFormat/>
    <w:rsid w:val="00874BAE"/>
    <w:pPr>
      <w:shd w:val="clear" w:color="auto" w:fill="FFFFFF"/>
      <w:overflowPunct w:val="0"/>
      <w:adjustRightInd w:val="0"/>
      <w:snapToGrid w:val="0"/>
      <w:spacing w:beforeLines="50" w:before="50" w:line="447" w:lineRule="atLeast"/>
      <w:jc w:val="center"/>
    </w:pPr>
    <w:rPr>
      <w:rFonts w:ascii="Times New Roman" w:eastAsia="仿宋_GB2312" w:hAnsi="Times New Roman" w:cs="Times New Roman"/>
      <w:color w:val="000000"/>
      <w:kern w:val="0"/>
      <w:sz w:val="32"/>
      <w:szCs w:val="2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902</Characters>
  <Application>Microsoft Office Word</Application>
  <DocSecurity>0</DocSecurity>
  <Lines>7</Lines>
  <Paragraphs>2</Paragraphs>
  <ScaleCrop>false</ScaleCrop>
  <Company>Microsoft</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2021-03-17T00:45:00Z</dcterms:created>
  <dcterms:modified xsi:type="dcterms:W3CDTF">2021-03-17T00:45:00Z</dcterms:modified>
</cp:coreProperties>
</file>